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78" w:line="223" w:lineRule="auto"/>
        <w:ind w:left="5055"/>
        <w:rPr>
          <w:rFonts w:ascii="Arial" w:hAnsi="Arial" w:eastAsia="Arial" w:cs="Arial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备案号：</w:t>
      </w:r>
      <w:r>
        <w:rPr>
          <w:rFonts w:ascii="Arial" w:hAnsi="Arial" w:eastAsia="Arial" w:cs="Arial"/>
          <w:spacing w:val="-7"/>
          <w:sz w:val="24"/>
          <w:szCs w:val="24"/>
        </w:rPr>
        <w:t>No.</w:t>
      </w:r>
      <w:r>
        <w:rPr>
          <w:rFonts w:ascii="Arial" w:hAnsi="Arial" w:eastAsia="Arial" w:cs="Arial"/>
          <w:spacing w:val="-7"/>
          <w:sz w:val="24"/>
          <w:szCs w:val="24"/>
          <w:u w:val="single" w:color="auto"/>
        </w:rPr>
        <w:t>44132025A2140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15"/>
        <w:widowControl/>
      </w:pPr>
      <w:r>
        <w:t>广东惠宏信律师事务所律师服务费标准</w:t>
      </w:r>
    </w:p>
    <w:p>
      <w:pPr>
        <w:pStyle w:val="11"/>
        <w:bidi w:val="0"/>
        <w:spacing w:beforeAutospacing="0" w:afterAutospacing="0" w:line="300" w:lineRule="exact"/>
      </w:pPr>
    </w:p>
    <w:p>
      <w:pPr>
        <w:pStyle w:val="11"/>
        <w:widowControl/>
      </w:pPr>
      <w:r>
        <w:t>根据《司法部国家发展和改革委员会国家市场监督 管理总局印发〈关于进一步规范律师服务收费的意见〉的 通知》（司发通〔2021〕87号）和《广东省律师事务所律 师服务费标准制定指引（试行）》，结合本所实际，制定</w:t>
      </w:r>
      <w:bookmarkStart w:id="0" w:name="_GoBack"/>
      <w:bookmarkEnd w:id="0"/>
      <w:r>
        <w:t>本所律师服务费标准，并于2025年6月5日在惠州市律师 协会备案。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0"/>
        <w:widowControl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计时收费标准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11"/>
        <w:widowControl/>
        <w:numPr>
          <w:ilvl w:val="0"/>
          <w:numId w:val="2"/>
        </w:numPr>
        <w:topLinePunct w:val="0"/>
        <w:ind w:left="0" w:leftChars="0" w:firstLine="616" w:firstLineChars="0"/>
        <w:rPr>
          <w:b w:val="0"/>
        </w:rPr>
      </w:pPr>
      <w:r>
        <w:t>本所各类法律服务事项均可约定计时收费方式。 （律师事务所也可以对本所计时收费的服务事项进行限定）</w:t>
      </w:r>
    </w:p>
    <w:p>
      <w:pPr>
        <w:pStyle w:val="11"/>
        <w:widowControl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本所计时收费的单位时间为60分钟，设定3档， 各档单位时间的计费标准分别为：</w:t>
      </w:r>
    </w:p>
    <w:p>
      <w:pPr>
        <w:pStyle w:val="11"/>
        <w:widowControl/>
      </w:pPr>
      <w:r>
        <w:t>第一档500元至2500元；</w:t>
      </w:r>
    </w:p>
    <w:p>
      <w:pPr>
        <w:pStyle w:val="11"/>
        <w:widowControl/>
      </w:pPr>
      <w:r>
        <w:t>第二档2600元至4500元；</w:t>
      </w:r>
    </w:p>
    <w:p>
      <w:pPr>
        <w:pStyle w:val="11"/>
        <w:widowControl/>
      </w:pPr>
      <w:r>
        <w:t>第三档4600元至6500元；</w:t>
      </w:r>
    </w:p>
    <w:p>
      <w:pPr>
        <w:spacing w:line="445" w:lineRule="auto"/>
        <w:rPr>
          <w:rFonts w:ascii="Arial"/>
          <w:sz w:val="21"/>
        </w:rPr>
      </w:pPr>
    </w:p>
    <w:p>
      <w:pPr>
        <w:pStyle w:val="11"/>
        <w:widowControl/>
        <w:numPr>
          <w:ilvl w:val="0"/>
          <w:numId w:val="2"/>
        </w:numPr>
        <w:topLinePunct w:val="0"/>
        <w:ind w:left="0" w:leftChars="0" w:firstLine="616" w:firstLineChars="0"/>
      </w:pPr>
      <w:r>
        <w:t>计时收费的工作时长以承办律师办理委托法律事项过程中了解案情、调查取证、查阅案卷、起草诉讼文书 和法律文件、会见被限制人身自由的人员、出庭、参与调 解和谈判、商议工作方案、代办各类手续等必要时间，以 及委托人认可的其他必要时间为准，节假日可依约定调 整。承办律师为两人以上的可分别计算，也可合并计算。</w:t>
      </w:r>
    </w:p>
    <w:p>
      <w:pPr>
        <w:pStyle w:val="11"/>
        <w:widowControl/>
        <w:numPr>
          <w:ilvl w:val="0"/>
          <w:numId w:val="2"/>
        </w:numPr>
        <w:topLinePunct w:val="0"/>
        <w:ind w:left="0" w:leftChars="0" w:firstLine="616" w:firstLineChars="0"/>
        <w:rPr>
          <w:b w:val="0"/>
        </w:rPr>
      </w:pPr>
      <w:r>
        <w:t>承办律师应当向委托人出具服务内容和时长清单 及其必要说明，并由委托人确认。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0"/>
        <w:widowControl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计件收费和按标的额比例收费标准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widowControl/>
        <w:numPr>
          <w:ilvl w:val="0"/>
          <w:numId w:val="3"/>
        </w:numPr>
        <w:topLinePunct w:val="0"/>
        <w:ind w:left="0" w:leftChars="0" w:firstLine="640" w:firstLineChars="0"/>
        <w:rPr>
          <w:b w:val="0"/>
        </w:rPr>
      </w:pPr>
      <w:r>
        <w:t>本所提供以下诉讼仲裁类法律服务事项，可选择 适用计件收费或者按标的额比例收费，计费标准分别为：</w:t>
      </w:r>
    </w:p>
    <w:p>
      <w:pPr>
        <w:pStyle w:val="11"/>
        <w:widowControl/>
        <w:numPr>
          <w:ilvl w:val="0"/>
          <w:numId w:val="4"/>
        </w:numPr>
        <w:topLinePunct w:val="0"/>
        <w:ind w:left="0" w:leftChars="0" w:firstLine="616" w:firstLineChars="0"/>
      </w:pPr>
      <w:r>
        <w:t xml:space="preserve">代理民事诉讼、行政诉讼一审案件、仲裁案 件，不涉及财产关系的，每件收费 </w:t>
      </w:r>
      <w:r>
        <w:rPr>
          <w:u w:val="single" w:color="auto"/>
        </w:rPr>
        <w:t xml:space="preserve"> 5000至500000</w:t>
      </w:r>
      <w:r>
        <w:t>元；涉及 财产关系的，可以按每件收费</w:t>
      </w:r>
      <w:r>
        <w:rPr>
          <w:u w:val="single" w:color="auto"/>
        </w:rPr>
        <w:t>5000至200000</w:t>
      </w:r>
      <w:r>
        <w:t>元，也可以按 争议财产标的分段比例累加计算或者在收取基础服务费的 基础上再按争议财产标的分段比例累加计算，其中基础服 务费为</w:t>
      </w:r>
      <w:r>
        <w:rPr>
          <w:u w:val="single" w:color="auto"/>
        </w:rPr>
        <w:t>5000至10000</w:t>
      </w:r>
      <w:r>
        <w:t>元，各段计费标准为：</w:t>
      </w:r>
    </w:p>
    <w:p>
      <w:pPr>
        <w:pStyle w:val="11"/>
        <w:widowControl/>
        <w:numPr>
          <w:ilvl w:val="0"/>
          <w:numId w:val="5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万元以下部分，收取6％－18％；</w:t>
      </w:r>
    </w:p>
    <w:p>
      <w:pPr>
        <w:pStyle w:val="11"/>
        <w:widowControl/>
        <w:numPr>
          <w:ilvl w:val="0"/>
          <w:numId w:val="5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万元至50万元部分，收取5％－14％；</w:t>
      </w:r>
    </w:p>
    <w:p>
      <w:pPr>
        <w:pStyle w:val="11"/>
        <w:widowControl/>
      </w:pPr>
      <w:r>
        <w:t>50万元至100万元部分，收取4％－10％；</w:t>
      </w:r>
    </w:p>
    <w:p>
      <w:pPr>
        <w:pStyle w:val="11"/>
        <w:widowControl/>
      </w:pPr>
      <w:r>
        <w:t>100万元至500万元部分，收取3％－8％；</w:t>
      </w:r>
    </w:p>
    <w:p>
      <w:pPr>
        <w:pStyle w:val="11"/>
        <w:widowControl/>
      </w:pPr>
      <w:r>
        <w:t>500万元至1000万元部分，收取2％－6％；</w:t>
      </w:r>
    </w:p>
    <w:p>
      <w:pPr>
        <w:pStyle w:val="11"/>
        <w:widowControl/>
      </w:pPr>
      <w:r>
        <w:t>1000万元至2000万元部分，收取</w:t>
      </w:r>
      <w:r>
        <w:rPr>
          <w:u w:val="single" w:color="auto"/>
        </w:rPr>
        <w:t>1.5</w:t>
      </w:r>
      <w:r>
        <w:t xml:space="preserve"> ％－4％；</w:t>
      </w:r>
    </w:p>
    <w:p>
      <w:pPr>
        <w:pStyle w:val="11"/>
        <w:widowControl/>
      </w:pPr>
      <w:r>
        <w:t>2000万元至5000万元部分，收取1％－</w:t>
      </w:r>
      <w:r>
        <w:rPr>
          <w:u w:val="single" w:color="auto"/>
        </w:rPr>
        <w:t>2.5</w:t>
      </w:r>
      <w:r>
        <w:t xml:space="preserve"> ％；</w:t>
      </w:r>
    </w:p>
    <w:p>
      <w:pPr>
        <w:pStyle w:val="11"/>
        <w:widowControl/>
      </w:pPr>
      <w:r>
        <w:t xml:space="preserve">5000万元以上部分，收取 </w:t>
      </w:r>
      <w:r>
        <w:rPr>
          <w:u w:val="single" w:color="auto"/>
        </w:rPr>
        <w:t xml:space="preserve"> 0.5</w:t>
      </w:r>
      <w:r>
        <w:t xml:space="preserve"> ％－2％。</w:t>
      </w:r>
    </w:p>
    <w:p>
      <w:pPr>
        <w:pStyle w:val="11"/>
        <w:widowControl/>
      </w:pPr>
      <w:r>
        <w:t>（各分段的具体区间及具体比例由律师事务所按照相关考虑因 素合理设定）</w:t>
      </w:r>
    </w:p>
    <w:p>
      <w:pPr>
        <w:pStyle w:val="11"/>
        <w:widowControl/>
      </w:pPr>
      <w:r>
        <w:t>委托人提出反诉、仲裁反请求或者对方当事人提出反 诉、仲裁反请求的，反诉、仲裁反请求按另一案件处理， 可以参照上述收费标准。</w:t>
      </w:r>
    </w:p>
    <w:p>
      <w:pPr>
        <w:pStyle w:val="11"/>
        <w:widowControl/>
      </w:pPr>
      <w:r>
        <w:t>代理特别程序、督促程序、公示催告程序案件，参照 上述收费标准。</w:t>
      </w:r>
    </w:p>
    <w:p>
      <w:pPr>
        <w:pStyle w:val="11"/>
        <w:widowControl/>
      </w:pPr>
      <w:r>
        <w:t>代理申请国家赔偿案件参照行政诉讼案件一 审收费标 准。</w:t>
      </w:r>
    </w:p>
    <w:p>
      <w:pPr>
        <w:pStyle w:val="11"/>
        <w:widowControl/>
      </w:pPr>
      <w:r>
        <w:t>代理民事诉讼、行政诉讼案件的二审案件、审判监督 程序、发回重审、执行程序的案件，参照一 审收费标准。 已经代理一审的，可以协商优惠收取。</w:t>
      </w:r>
    </w:p>
    <w:p>
      <w:pPr>
        <w:pStyle w:val="11"/>
        <w:widowControl/>
      </w:pPr>
      <w:r>
        <w:t>劳动争议仲裁案件参照民事诉讼案件标准收费。商事 仲裁案件参照民事诉讼案件标准或者上浮50％以内收费。申 请执行仲裁裁决案件、申请撤销仲裁裁决案件、申请不予 执行仲裁裁决</w:t>
      </w:r>
      <w:r>
        <w:rPr>
          <w:spacing w:val="4"/>
        </w:rPr>
        <w:t>案件，参照民事诉讼执行程序收费标准或</w:t>
      </w:r>
      <w:r>
        <w:rPr>
          <w:spacing w:val="3"/>
        </w:rPr>
        <w:t>者</w:t>
      </w:r>
      <w:r>
        <w:rPr>
          <w:spacing w:val="4"/>
        </w:rPr>
        <w:t xml:space="preserve"> 上浮</w:t>
      </w:r>
      <w:r>
        <w:rPr>
          <w:spacing w:val="-6"/>
        </w:rPr>
        <w:t>5</w:t>
      </w:r>
      <w:r>
        <w:rPr>
          <w:spacing w:val="4"/>
        </w:rPr>
        <w:t>0％</w:t>
      </w:r>
      <w:r>
        <w:rPr>
          <w:spacing w:val="3"/>
        </w:rPr>
        <w:t>以</w:t>
      </w:r>
      <w:r>
        <w:rPr>
          <w:spacing w:val="-6"/>
        </w:rPr>
        <w:t>内</w:t>
      </w:r>
      <w:r>
        <w:t>收费。</w:t>
      </w:r>
    </w:p>
    <w:p>
      <w:pPr>
        <w:pStyle w:val="11"/>
        <w:widowControl/>
        <w:numPr>
          <w:ilvl w:val="0"/>
          <w:numId w:val="4"/>
        </w:numPr>
        <w:topLinePunct w:val="0"/>
        <w:ind w:left="0" w:leftChars="0" w:firstLine="616" w:firstLineChars="0"/>
      </w:pPr>
      <w:r>
        <w:t>办理刑事诉讼案件，按以下标准分别收费：</w:t>
      </w:r>
    </w:p>
    <w:p>
      <w:pPr>
        <w:spacing w:line="222" w:lineRule="auto"/>
        <w:rPr>
          <w:sz w:val="29"/>
          <w:szCs w:val="29"/>
        </w:rPr>
        <w:sectPr>
          <w:footerReference r:id="rId3" w:type="default"/>
          <w:footerReference r:id="rId4" w:type="even"/>
          <w:pgSz w:w="11900" w:h="16820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>
      <w:pPr>
        <w:pStyle w:val="11"/>
        <w:widowControl/>
        <w:numPr>
          <w:ilvl w:val="0"/>
          <w:numId w:val="6"/>
        </w:numPr>
        <w:topLinePunct w:val="0"/>
        <w:ind w:left="0" w:leftChars="0" w:firstLine="616" w:firstLineChars="0"/>
        <w:rPr>
          <w:b w:val="0"/>
        </w:rPr>
      </w:pPr>
      <w:r>
        <w:t>刑事侦查阶段，</w:t>
      </w:r>
      <w:r>
        <w:rPr>
          <w:u w:val="single" w:color="auto"/>
        </w:rPr>
        <w:t>10000</w:t>
      </w:r>
      <w:r>
        <w:t xml:space="preserve"> 元至 </w:t>
      </w:r>
      <w:r>
        <w:rPr>
          <w:u w:val="single" w:color="auto"/>
        </w:rPr>
        <w:t>200000</w:t>
      </w:r>
      <w:r>
        <w:t xml:space="preserve"> 元／件。</w:t>
      </w:r>
    </w:p>
    <w:p>
      <w:pPr>
        <w:pStyle w:val="11"/>
        <w:widowControl/>
        <w:numPr>
          <w:ilvl w:val="0"/>
          <w:numId w:val="6"/>
        </w:numPr>
        <w:topLinePunct w:val="0"/>
        <w:ind w:left="0" w:leftChars="0" w:firstLine="616" w:firstLineChars="0"/>
        <w:rPr>
          <w:b w:val="0"/>
        </w:rPr>
      </w:pPr>
      <w:r>
        <w:t>审查起诉阶段，</w:t>
      </w:r>
      <w:r>
        <w:rPr>
          <w:u w:val="single" w:color="auto"/>
        </w:rPr>
        <w:t>10000</w:t>
      </w:r>
      <w:r>
        <w:t xml:space="preserve"> 元至 </w:t>
      </w:r>
      <w:r>
        <w:rPr>
          <w:u w:val="single" w:color="auto"/>
        </w:rPr>
        <w:t>200000</w:t>
      </w:r>
      <w:r>
        <w:t xml:space="preserve"> 元／件。</w:t>
      </w:r>
    </w:p>
    <w:p>
      <w:pPr>
        <w:pStyle w:val="11"/>
        <w:widowControl/>
        <w:numPr>
          <w:ilvl w:val="0"/>
          <w:numId w:val="6"/>
        </w:numPr>
        <w:topLinePunct w:val="0"/>
        <w:ind w:left="0" w:leftChars="0" w:firstLine="616" w:firstLineChars="0"/>
        <w:rPr>
          <w:b w:val="0"/>
        </w:rPr>
      </w:pPr>
      <w:r>
        <w:t>一审阶段，</w:t>
      </w:r>
      <w:r>
        <w:rPr>
          <w:u w:val="single" w:color="auto"/>
        </w:rPr>
        <w:t>10000</w:t>
      </w:r>
      <w:r>
        <w:t xml:space="preserve"> 元至</w:t>
      </w:r>
      <w:r>
        <w:rPr>
          <w:u w:val="single" w:color="auto"/>
        </w:rPr>
        <w:t>200000</w:t>
      </w:r>
      <w:r>
        <w:t xml:space="preserve"> 元／件。</w:t>
      </w:r>
    </w:p>
    <w:p>
      <w:pPr>
        <w:pStyle w:val="11"/>
        <w:widowControl/>
        <w:numPr>
          <w:ilvl w:val="0"/>
          <w:numId w:val="6"/>
        </w:numPr>
        <w:topLinePunct w:val="0"/>
        <w:ind w:left="0" w:leftChars="0" w:firstLine="616" w:firstLineChars="0"/>
        <w:rPr>
          <w:b w:val="0"/>
        </w:rPr>
      </w:pPr>
      <w:r>
        <w:t>死刑复核阶段，</w:t>
      </w:r>
      <w:r>
        <w:rPr>
          <w:u w:val="single" w:color="auto"/>
        </w:rPr>
        <w:t>20000</w:t>
      </w:r>
      <w:r>
        <w:t xml:space="preserve"> 元至 </w:t>
      </w:r>
      <w:r>
        <w:rPr>
          <w:u w:val="single" w:color="auto"/>
        </w:rPr>
        <w:t>300000</w:t>
      </w:r>
      <w:r>
        <w:t xml:space="preserve"> 元／件。</w:t>
      </w:r>
    </w:p>
    <w:p>
      <w:pPr>
        <w:pStyle w:val="11"/>
        <w:widowControl/>
        <w:numPr>
          <w:ilvl w:val="0"/>
          <w:numId w:val="6"/>
        </w:numPr>
        <w:topLinePunct w:val="0"/>
        <w:ind w:left="0" w:leftChars="0" w:firstLine="616" w:firstLineChars="0"/>
        <w:rPr>
          <w:b w:val="0"/>
        </w:rPr>
      </w:pPr>
      <w:r>
        <w:t xml:space="preserve">其他刑事诉讼活动：减刑、假释、保外就医、社区 矫正、罚金刑的执行、财产没收等， </w:t>
      </w:r>
      <w:r>
        <w:rPr>
          <w:u w:val="single" w:color="auto"/>
        </w:rPr>
        <w:t>8000</w:t>
      </w:r>
      <w:r>
        <w:t xml:space="preserve"> 元至 </w:t>
      </w:r>
      <w:r>
        <w:rPr>
          <w:u w:val="single" w:color="auto"/>
        </w:rPr>
        <w:t xml:space="preserve"> 100000</w:t>
      </w:r>
      <w:r>
        <w:t xml:space="preserve">  元／ 件。</w:t>
      </w:r>
    </w:p>
    <w:p>
      <w:pPr>
        <w:pStyle w:val="11"/>
        <w:widowControl/>
        <w:numPr>
          <w:ilvl w:val="0"/>
          <w:numId w:val="6"/>
        </w:numPr>
        <w:topLinePunct w:val="0"/>
        <w:ind w:left="0" w:leftChars="0" w:firstLine="616" w:firstLineChars="0"/>
        <w:rPr>
          <w:b w:val="0"/>
        </w:rPr>
      </w:pPr>
      <w:r>
        <w:t>二审、审判监督程序、发回重审、执行程序以及向 人民检察院申诉的案件，参照一审收费标准。</w:t>
      </w:r>
    </w:p>
    <w:p>
      <w:pPr>
        <w:pStyle w:val="11"/>
        <w:widowControl/>
        <w:numPr>
          <w:ilvl w:val="0"/>
          <w:numId w:val="6"/>
        </w:numPr>
        <w:topLinePunct w:val="0"/>
        <w:ind w:left="0" w:leftChars="0" w:firstLine="616" w:firstLineChars="0"/>
        <w:rPr>
          <w:b w:val="0"/>
        </w:rPr>
      </w:pPr>
      <w:r>
        <w:t>代理刑事附带民事诉讼案件，刑事部分与民事部分 按照上述相应标准分别计费，也可以在此基础上约定调</w:t>
      </w:r>
    </w:p>
    <w:p>
      <w:pPr>
        <w:pStyle w:val="11"/>
        <w:widowControl/>
      </w:pPr>
      <w:r>
        <w:t>节，禁止实行或者变相实行风险代理收费。</w:t>
      </w:r>
    </w:p>
    <w:p>
      <w:pPr>
        <w:pStyle w:val="11"/>
        <w:widowControl/>
        <w:numPr>
          <w:ilvl w:val="0"/>
          <w:numId w:val="4"/>
        </w:numPr>
        <w:topLinePunct w:val="0"/>
        <w:ind w:left="0" w:leftChars="0" w:firstLine="616" w:firstLineChars="0"/>
      </w:pPr>
      <w:r>
        <w:t>其他诉讼法律服务事项的计件收费，律师事务 所与委托人可根据最相近似原则参照本标准协商确定。</w:t>
      </w:r>
    </w:p>
    <w:p>
      <w:pPr>
        <w:pStyle w:val="2"/>
        <w:widowControl/>
        <w:numPr>
          <w:ilvl w:val="0"/>
          <w:numId w:val="3"/>
        </w:numPr>
        <w:topLinePunct w:val="0"/>
        <w:ind w:left="0" w:leftChars="0" w:firstLine="640" w:firstLineChars="0"/>
        <w:rPr>
          <w:b w:val="0"/>
        </w:rPr>
      </w:pPr>
      <w:r>
        <w:t>本所提供非诉讼仲裁类法律服务事项收费标准分 别如下：</w:t>
      </w:r>
    </w:p>
    <w:p>
      <w:pPr>
        <w:pStyle w:val="11"/>
        <w:widowControl/>
        <w:numPr>
          <w:ilvl w:val="0"/>
          <w:numId w:val="7"/>
        </w:numPr>
        <w:topLinePunct w:val="0"/>
        <w:ind w:left="0" w:leftChars="0" w:firstLine="616" w:firstLineChars="0"/>
      </w:pPr>
      <w:r>
        <w:t>非诉讼仲裁类法律服务事项涉及财产关系的， 可以按委托事项涉及标的分段比例累加计费，各段计费标 准为：</w:t>
      </w:r>
    </w:p>
    <w:p>
      <w:pPr>
        <w:pStyle w:val="11"/>
        <w:widowControl/>
      </w:pPr>
      <w:r>
        <w:t>100万元以下部分，收取5％－18％；</w:t>
      </w:r>
    </w:p>
    <w:p>
      <w:pPr>
        <w:pStyle w:val="11"/>
        <w:widowControl/>
      </w:pPr>
      <w:r>
        <w:t>100万元至1000万元部分，收取3％－16％；</w:t>
      </w:r>
    </w:p>
    <w:p>
      <w:pPr>
        <w:pStyle w:val="11"/>
        <w:widowControl/>
      </w:pPr>
      <w:r>
        <w:t>1000万元至5000万元部分，收取1％－10％；</w:t>
      </w:r>
    </w:p>
    <w:p>
      <w:pPr>
        <w:spacing w:line="222" w:lineRule="auto"/>
        <w:rPr>
          <w:sz w:val="31"/>
          <w:szCs w:val="31"/>
        </w:rPr>
        <w:sectPr>
          <w:footerReference r:id="rId5" w:type="default"/>
          <w:pgSz w:w="11900" w:h="16820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>
      <w:pPr>
        <w:pStyle w:val="11"/>
        <w:widowControl/>
      </w:pPr>
      <w:r>
        <w:t>5000万元至1亿元部分，收取1％－5％；</w:t>
      </w:r>
    </w:p>
    <w:p>
      <w:pPr>
        <w:pStyle w:val="11"/>
        <w:widowControl/>
      </w:pPr>
      <w:r>
        <w:t>1亿元以上部分，收取</w:t>
      </w:r>
      <w:r>
        <w:rPr>
          <w:u w:val="single" w:color="auto"/>
        </w:rPr>
        <w:t>0.5</w:t>
      </w:r>
      <w:r>
        <w:t xml:space="preserve"> ％－</w:t>
      </w:r>
      <w:r>
        <w:rPr>
          <w:u w:val="single" w:color="auto"/>
        </w:rPr>
        <w:t>2.5</w:t>
      </w:r>
      <w:r>
        <w:t xml:space="preserve"> ％。</w:t>
      </w:r>
    </w:p>
    <w:p>
      <w:pPr>
        <w:pStyle w:val="11"/>
        <w:widowControl/>
      </w:pPr>
      <w:r>
        <w:t>（各分段的具体区间及具体比例由律师事务所按照相 关考虑因素合理设定）</w:t>
      </w:r>
    </w:p>
    <w:p>
      <w:pPr>
        <w:pStyle w:val="11"/>
        <w:widowControl/>
        <w:numPr>
          <w:ilvl w:val="0"/>
          <w:numId w:val="7"/>
        </w:numPr>
        <w:topLinePunct w:val="0"/>
        <w:ind w:left="0" w:leftChars="0" w:firstLine="616" w:firstLineChars="0"/>
      </w:pPr>
      <w:r>
        <w:t>以下非诉讼仲裁类法律服务事项收费标准：</w:t>
      </w:r>
    </w:p>
    <w:p>
      <w:pPr>
        <w:pStyle w:val="11"/>
        <w:widowControl/>
        <w:numPr>
          <w:ilvl w:val="0"/>
          <w:numId w:val="8"/>
        </w:numPr>
        <w:topLinePunct w:val="0"/>
        <w:ind w:left="0" w:leftChars="0" w:firstLine="616" w:firstLineChars="0"/>
        <w:rPr>
          <w:b w:val="0"/>
        </w:rPr>
      </w:pPr>
      <w:r>
        <w:t xml:space="preserve">担任常年法律顾问， </w:t>
      </w:r>
      <w:r>
        <w:rPr>
          <w:u w:val="single" w:color="auto"/>
        </w:rPr>
        <w:t>20000</w:t>
      </w:r>
      <w:r>
        <w:t xml:space="preserve"> 元至 </w:t>
      </w:r>
      <w:r>
        <w:rPr>
          <w:u w:val="single" w:color="auto"/>
        </w:rPr>
        <w:t xml:space="preserve"> 300000</w:t>
      </w:r>
      <w:r>
        <w:t xml:space="preserve"> 元／年；</w:t>
      </w:r>
    </w:p>
    <w:p>
      <w:pPr>
        <w:pStyle w:val="11"/>
        <w:widowControl/>
        <w:numPr>
          <w:ilvl w:val="0"/>
          <w:numId w:val="8"/>
        </w:numPr>
        <w:topLinePunct w:val="0"/>
        <w:ind w:left="0" w:leftChars="0" w:firstLine="616" w:firstLineChars="0"/>
        <w:rPr>
          <w:b w:val="0"/>
        </w:rPr>
      </w:pPr>
      <w:r>
        <w:t>担任专项法律顾问，</w:t>
      </w:r>
      <w:r>
        <w:rPr>
          <w:u w:val="single" w:color="auto"/>
        </w:rPr>
        <w:t>20000</w:t>
      </w:r>
      <w:r>
        <w:t>元至</w:t>
      </w:r>
      <w:r>
        <w:rPr>
          <w:u w:val="single" w:color="auto"/>
        </w:rPr>
        <w:t>1000000</w:t>
      </w:r>
      <w:r>
        <w:t xml:space="preserve"> 元／件；</w:t>
      </w:r>
    </w:p>
    <w:p>
      <w:pPr>
        <w:pStyle w:val="11"/>
        <w:widowControl/>
        <w:numPr>
          <w:ilvl w:val="0"/>
          <w:numId w:val="8"/>
        </w:numPr>
        <w:topLinePunct w:val="0"/>
        <w:ind w:left="0" w:leftChars="0" w:firstLine="616" w:firstLineChars="0"/>
        <w:rPr>
          <w:b w:val="0"/>
        </w:rPr>
      </w:pPr>
      <w:r>
        <w:t xml:space="preserve">法律咨询服务费， </w:t>
      </w:r>
      <w:r>
        <w:rPr>
          <w:u w:val="single" w:color="auto"/>
        </w:rPr>
        <w:t>2000</w:t>
      </w:r>
      <w:r>
        <w:t xml:space="preserve"> 元至 </w:t>
      </w:r>
      <w:r>
        <w:rPr>
          <w:u w:val="single" w:color="auto"/>
        </w:rPr>
        <w:t xml:space="preserve"> 200000</w:t>
      </w:r>
      <w:r>
        <w:t xml:space="preserve"> 元／件；</w:t>
      </w:r>
    </w:p>
    <w:p>
      <w:pPr>
        <w:pStyle w:val="11"/>
        <w:widowControl/>
        <w:numPr>
          <w:ilvl w:val="0"/>
          <w:numId w:val="8"/>
        </w:numPr>
        <w:topLinePunct w:val="0"/>
        <w:ind w:left="0" w:leftChars="0" w:firstLine="616" w:firstLineChars="0"/>
        <w:rPr>
          <w:b w:val="0"/>
        </w:rPr>
      </w:pPr>
      <w:r>
        <w:t xml:space="preserve">法律论证服务费， </w:t>
      </w:r>
      <w:r>
        <w:rPr>
          <w:u w:val="single" w:color="auto"/>
        </w:rPr>
        <w:t>8000</w:t>
      </w:r>
      <w:r>
        <w:t xml:space="preserve"> 元至 </w:t>
      </w:r>
      <w:r>
        <w:rPr>
          <w:u w:val="single" w:color="auto"/>
        </w:rPr>
        <w:t xml:space="preserve"> 200000</w:t>
      </w:r>
      <w:r>
        <w:t xml:space="preserve"> 元／件；</w:t>
      </w:r>
    </w:p>
    <w:p>
      <w:pPr>
        <w:pStyle w:val="11"/>
        <w:widowControl/>
        <w:numPr>
          <w:ilvl w:val="0"/>
          <w:numId w:val="8"/>
        </w:numPr>
        <w:topLinePunct w:val="0"/>
        <w:ind w:left="0" w:leftChars="0" w:firstLine="616" w:firstLineChars="0"/>
        <w:rPr>
          <w:b w:val="0"/>
        </w:rPr>
      </w:pPr>
      <w:r>
        <w:t xml:space="preserve">法律培训服务费， </w:t>
      </w:r>
      <w:r>
        <w:rPr>
          <w:u w:val="single" w:color="auto"/>
        </w:rPr>
        <w:t>5000</w:t>
      </w:r>
      <w:r>
        <w:t xml:space="preserve"> 元至</w:t>
      </w:r>
      <w:r>
        <w:rPr>
          <w:u w:val="single" w:color="auto"/>
        </w:rPr>
        <w:t>100000</w:t>
      </w:r>
      <w:r>
        <w:t xml:space="preserve"> 元／件；</w:t>
      </w:r>
    </w:p>
    <w:p>
      <w:pPr>
        <w:pStyle w:val="11"/>
        <w:widowControl/>
      </w:pPr>
      <w:r>
        <w:pict>
          <v:shape id="_x0000_s1026" o:spid="_x0000_s1026" o:spt="202" type="#_x0000_t202" style="position:absolute;left:0pt;margin-left:482.75pt;margin-top:27.75pt;height:22.25pt;width: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41" w:lineRule="auto"/>
                    <w:jc w:val="right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color w:val="E46D91"/>
                      <w:spacing w:val="-36"/>
                      <w:sz w:val="31"/>
                      <w:szCs w:val="31"/>
                    </w:rPr>
                    <w:t>1</w:t>
                  </w:r>
                </w:p>
              </w:txbxContent>
            </v:textbox>
          </v:shape>
        </w:pict>
      </w:r>
      <w:r>
        <w:t>6.律师见证服务费，</w:t>
      </w:r>
      <w:r>
        <w:rPr>
          <w:u w:val="single" w:color="auto"/>
        </w:rPr>
        <w:t>1000</w:t>
      </w:r>
      <w:r>
        <w:t xml:space="preserve"> 元 至</w:t>
      </w:r>
      <w:r>
        <w:rPr>
          <w:u w:val="single" w:color="auto"/>
        </w:rPr>
        <w:t>100000</w:t>
      </w:r>
      <w:r>
        <w:t xml:space="preserve"> 元／件；</w:t>
      </w:r>
    </w:p>
    <w:p>
      <w:pPr>
        <w:pStyle w:val="11"/>
        <w:widowControl/>
      </w:pPr>
      <w:r>
        <w:t>7.出具律师函、法律意见书、法律咨询回函，以及开 展资信调</w:t>
      </w:r>
      <w:r>
        <w:rPr>
          <w:spacing w:val="5"/>
        </w:rPr>
        <w:t xml:space="preserve">查、法律尽职调查等事项的服务费， </w:t>
      </w:r>
      <w:r>
        <w:rPr>
          <w:spacing w:val="5"/>
          <w:u w:val="single" w:color="auto"/>
        </w:rPr>
        <w:t xml:space="preserve"> </w:t>
      </w:r>
      <w:r>
        <w:rPr>
          <w:spacing w:val="-6"/>
          <w:u w:val="single" w:color="auto"/>
        </w:rPr>
        <w:t>1000</w:t>
      </w:r>
      <w:r>
        <w:rPr>
          <w:spacing w:val="5"/>
        </w:rPr>
        <w:t xml:space="preserve">  元至 </w:t>
      </w:r>
      <w:r>
        <w:rPr>
          <w:spacing w:val="-6"/>
          <w:u w:val="single" w:color="auto"/>
        </w:rPr>
        <w:t>100000</w:t>
      </w:r>
      <w:r>
        <w:rPr>
          <w:spacing w:val="5"/>
        </w:rPr>
        <w:t xml:space="preserve"> </w:t>
      </w:r>
      <w:r>
        <w:rPr>
          <w:spacing w:val="-6"/>
        </w:rPr>
        <w:t>元</w:t>
      </w:r>
      <w:r>
        <w:t>／件；</w:t>
      </w:r>
    </w:p>
    <w:p>
      <w:pPr>
        <w:pStyle w:val="11"/>
        <w:widowControl/>
      </w:pPr>
      <w:r>
        <w:t>8.起草、审查、修改合同或者其他文件等事项的服务 费 ，</w:t>
      </w:r>
      <w:r>
        <w:rPr>
          <w:u w:val="single" w:color="auto"/>
        </w:rPr>
        <w:t>2000至100000</w:t>
      </w:r>
      <w:r>
        <w:t>元／件；</w:t>
      </w:r>
    </w:p>
    <w:p>
      <w:pPr>
        <w:pStyle w:val="11"/>
        <w:widowControl/>
      </w:pPr>
      <w:r>
        <w:t xml:space="preserve">9.代书、代办公证，代为声明等事项的服务费， </w:t>
      </w:r>
      <w:r>
        <w:rPr>
          <w:u w:val="single" w:color="auto"/>
        </w:rPr>
        <w:t>2000</w:t>
      </w:r>
      <w:r>
        <w:t xml:space="preserve"> 元至</w:t>
      </w:r>
      <w:r>
        <w:rPr>
          <w:u w:val="single" w:color="auto"/>
        </w:rPr>
        <w:t>50000</w:t>
      </w:r>
      <w:r>
        <w:t xml:space="preserve"> 元／件；</w:t>
      </w:r>
    </w:p>
    <w:p>
      <w:pPr>
        <w:pStyle w:val="11"/>
        <w:widowControl/>
      </w:pPr>
      <w:r>
        <w:t xml:space="preserve">10.参与谈判、调解等事务的服务费， </w:t>
      </w:r>
      <w:r>
        <w:rPr>
          <w:u w:val="single" w:color="auto"/>
        </w:rPr>
        <w:t xml:space="preserve"> 5000</w:t>
      </w:r>
      <w:r>
        <w:t xml:space="preserve"> 元至</w:t>
      </w:r>
      <w:r>
        <w:rPr>
          <w:u w:val="single" w:color="auto"/>
        </w:rPr>
        <w:t>100000</w:t>
      </w:r>
      <w:r>
        <w:t xml:space="preserve"> 元／件；</w:t>
      </w:r>
    </w:p>
    <w:p>
      <w:pPr>
        <w:pStyle w:val="11"/>
        <w:widowControl/>
      </w:pPr>
      <w:r>
        <w:t>11.行政复议、听证服务费，可参照行政诉讼案件一审 收费标准；</w:t>
      </w:r>
    </w:p>
    <w:p>
      <w:pPr>
        <w:spacing w:line="293" w:lineRule="auto"/>
        <w:rPr>
          <w:sz w:val="29"/>
          <w:szCs w:val="29"/>
        </w:rPr>
        <w:sectPr>
          <w:footerReference r:id="rId6" w:type="default"/>
          <w:pgSz w:w="11900" w:h="16820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>
      <w:pPr>
        <w:pStyle w:val="11"/>
        <w:widowControl/>
      </w:pPr>
      <w:r>
        <w:t xml:space="preserve">12.其他非诉讼仲裁类法律服务事项的服务费， </w:t>
      </w:r>
      <w:r>
        <w:rPr>
          <w:u w:val="single" w:color="auto"/>
        </w:rPr>
        <w:t xml:space="preserve"> 2000</w:t>
      </w:r>
      <w:r>
        <w:t xml:space="preserve"> 元 至 </w:t>
      </w:r>
      <w:r>
        <w:rPr>
          <w:u w:val="single" w:color="auto"/>
        </w:rPr>
        <w:t>300000</w:t>
      </w:r>
      <w:r>
        <w:t xml:space="preserve"> 元／件。</w:t>
      </w:r>
    </w:p>
    <w:p>
      <w:pPr>
        <w:pStyle w:val="11"/>
        <w:widowControl/>
      </w:pPr>
      <w:r>
        <w:t>（律师事务所也可以对不同的非诉讼法律服务事项分类分档罗 列价目）</w:t>
      </w:r>
    </w:p>
    <w:p>
      <w:pPr>
        <w:pStyle w:val="11"/>
        <w:widowControl/>
      </w:pPr>
      <w:r>
        <w:t>担任人民法院指定破产管理人、强制清算管理人案件 的收费标准，依照《最高人民法院关于审理企业破产案件 确定管理人报酬的规定》及各地人民法院的相关规定执 行。</w:t>
      </w:r>
    </w:p>
    <w:p>
      <w:pPr>
        <w:pStyle w:val="11"/>
        <w:widowControl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</w:rPr>
      </w:pPr>
      <w:r>
        <w:t>代理重大、疑难、复杂或者具有涉外因素的法律 服务事项，可按照法律服务事项性质所对应的收费标准上 浮</w:t>
      </w:r>
      <w:r>
        <w:rPr>
          <w:u w:val="single" w:color="auto"/>
        </w:rPr>
        <w:t>200</w:t>
      </w:r>
      <w:r>
        <w:t xml:space="preserve"> ％以内收费。</w:t>
      </w:r>
    </w:p>
    <w:p>
      <w:pPr>
        <w:pStyle w:val="20"/>
        <w:widowControl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风险代理收费标准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11"/>
        <w:widowControl/>
        <w:numPr>
          <w:ilvl w:val="0"/>
          <w:numId w:val="9"/>
        </w:numPr>
        <w:topLinePunct w:val="0"/>
        <w:ind w:left="0" w:leftChars="0" w:firstLine="616" w:firstLineChars="0"/>
        <w:rPr>
          <w:b w:val="0"/>
        </w:rPr>
      </w:pPr>
      <w:r>
        <w:t>本所对接受委托的刑事诉讼案件、行政诉讼案 件、国家赔偿案件、群体性诉讼案件、婚姻继承案件，以 及请求给予社会保险待遇、最低生活保障待遇、赡养费、 抚养费、扶养费、抚恤金、救济金、工伤赔偿、劳动报酬 的案件，禁止实行或者变相实行风险代理收费。</w:t>
      </w:r>
    </w:p>
    <w:p>
      <w:pPr>
        <w:pStyle w:val="11"/>
        <w:widowControl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风险代理收费可以约定固定的金额收费，也可以 按照委托人最终实现的债权或者减免的债务金额（以下简 称“标的额”）的一定比例收费。</w:t>
      </w:r>
    </w:p>
    <w:p>
      <w:pPr>
        <w:spacing w:line="319" w:lineRule="auto"/>
        <w:sectPr>
          <w:footerReference r:id="rId7" w:type="default"/>
          <w:pgSz w:w="11900" w:h="16820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>
      <w:pPr>
        <w:pStyle w:val="11"/>
        <w:widowControl/>
      </w:pPr>
      <w:r>
        <w:t>本所在风险代理的各个环节收取的律师服务费合计最 高金额应当符合以下规定：标的额不足人民币100万元的部 分，不得超过标的额的18％；标的额在人民币100万元以上 不足500万元的部分，不得超过标的额的15％；标的额在人 民币500万元以上不足1000万元的部分，不得超过标的额 的12％；标的额在人民币1000万元以上不足5000万元的部 分，不得超过标的额的9％；标的额在人民币5000万元以上 的部分，不得超过标的额的6％。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0"/>
        <w:widowControl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收费标准说明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11"/>
        <w:widowControl/>
        <w:numPr>
          <w:ilvl w:val="0"/>
          <w:numId w:val="1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法律服务采购方依据政府采购或公开招标的方式 采购法律服务项目，对律师服务费有明确限价的，可在项 目限价的5％－30％区间内向下浮动进行报价，不受本所律师</w:t>
      </w:r>
    </w:p>
    <w:p>
      <w:pPr>
        <w:pStyle w:val="11"/>
        <w:widowControl/>
      </w:pPr>
      <w:r>
        <w:t>服务费标准限制；如果没有明确限价的，按照本所律师服 务费标准进行报价。</w:t>
      </w:r>
    </w:p>
    <w:p>
      <w:pPr>
        <w:pStyle w:val="11"/>
        <w:widowControl/>
        <w:numPr>
          <w:ilvl w:val="0"/>
          <w:numId w:val="10"/>
        </w:numPr>
        <w:topLinePunct w:val="0"/>
        <w:ind w:left="0" w:leftChars="0" w:firstLine="616" w:firstLineChars="0"/>
        <w:rPr>
          <w:b w:val="0"/>
        </w:rPr>
      </w:pPr>
      <w:r>
        <w:t>一、律师事务所提供法律服务过程中代委托人支付 的诉讼费、仲裁费、鉴定费、公证费、查档费、保全费、 翻译费、专家论证费、异地办案差旅费等费用，不属于律 师服务费，由委托人另行支付。</w:t>
      </w:r>
    </w:p>
    <w:p>
      <w:pPr>
        <w:pStyle w:val="11"/>
        <w:widowControl/>
        <w:numPr>
          <w:ilvl w:val="0"/>
          <w:numId w:val="1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律师事务所为农民工、残疾人等弱势群体或者 为公益活动提供法律服务的，可以酌情减免律师服务费。</w:t>
      </w:r>
    </w:p>
    <w:p>
      <w:pPr>
        <w:spacing w:line="296" w:lineRule="auto"/>
        <w:sectPr>
          <w:footerReference r:id="rId8" w:type="default"/>
          <w:pgSz w:w="11900" w:h="16820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>
      <w:pPr>
        <w:pStyle w:val="11"/>
        <w:widowControl/>
      </w:pPr>
      <w:r>
        <w:t>承办法律援助案件，不得向法律援助受援人索要费用或者 接受受援人的财物或者其他利益。</w:t>
      </w:r>
    </w:p>
    <w:p>
      <w:pPr>
        <w:pStyle w:val="11"/>
        <w:widowControl/>
        <w:numPr>
          <w:ilvl w:val="0"/>
          <w:numId w:val="1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本标准中的“标的分段” “标的额分段”各段 不含下限本数，含上限本数；  “重大、疑难、复杂或者具 有涉外因素的法律服务事项”按照《广东省律师事务所律 师服务费标准制定指引（试行）》相关规定执行。</w:t>
      </w:r>
    </w:p>
    <w:p>
      <w:pPr>
        <w:pStyle w:val="11"/>
        <w:widowControl/>
        <w:numPr>
          <w:ilvl w:val="0"/>
          <w:numId w:val="1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本标准风险收费代理中所述的“标的额”是指 法律服务事项中委托人最终实现的债权或者减免的债务金 额，其他条款中所述的“标的额”是指法律服务事项所涉 及的标的金额。</w:t>
      </w:r>
    </w:p>
    <w:p>
      <w:pPr>
        <w:pStyle w:val="11"/>
        <w:widowControl/>
        <w:numPr>
          <w:ilvl w:val="0"/>
          <w:numId w:val="1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律师服务费和本文本第十一项所列的办案费由 律师事务所统一收取。律师个人不得向委托人收取任何费 用。律师事务所收取律师服务费，必须使用税务部门规定 的合法票据。</w:t>
      </w:r>
    </w:p>
    <w:p>
      <w:pPr>
        <w:pStyle w:val="11"/>
        <w:widowControl/>
      </w:pPr>
      <w:r>
        <w:t>委托人向律师事务所支付律师服务费后，律师事务所 应当向委托人出具合法票据。</w:t>
      </w:r>
    </w:p>
    <w:p>
      <w:pPr>
        <w:spacing w:line="371" w:lineRule="auto"/>
        <w:sectPr>
          <w:footerReference r:id="rId9" w:type="default"/>
          <w:pgSz w:w="11900" w:h="16820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>
      <w:pPr>
        <w:pStyle w:val="11"/>
        <w:bidi w:val="0"/>
      </w:pPr>
    </w:p>
    <w:p>
      <w:pPr>
        <w:pStyle w:val="11"/>
        <w:widowControl/>
        <w:ind w:left="1848" w:hanging="1232" w:firstLineChars="0"/>
      </w:pPr>
      <w:r>
        <w:t>附件：计时收费中本所律师对应收费标准关系表</w:t>
      </w:r>
    </w:p>
    <w:p>
      <w:pPr>
        <w:spacing w:before="85"/>
      </w:pPr>
    </w:p>
    <w:p>
      <w:pPr>
        <w:spacing w:before="85"/>
      </w:pPr>
    </w:p>
    <w:tbl>
      <w:tblPr>
        <w:tblStyle w:val="18"/>
        <w:tblW w:w="8189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1677"/>
        <w:gridCol w:w="4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189" w:type="dxa"/>
            <w:gridSpan w:val="3"/>
            <w:vAlign w:val="top"/>
          </w:tcPr>
          <w:p>
            <w:pPr>
              <w:pStyle w:val="19"/>
              <w:spacing w:before="175" w:line="219" w:lineRule="auto"/>
              <w:ind w:left="2714"/>
            </w:pPr>
            <w:r>
              <w:rPr>
                <w:spacing w:val="-1"/>
              </w:rPr>
              <w:t>广东惠宏信律师事务所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412" w:type="dxa"/>
            <w:vAlign w:val="top"/>
          </w:tcPr>
          <w:p>
            <w:pPr>
              <w:pStyle w:val="19"/>
              <w:spacing w:before="172" w:line="219" w:lineRule="auto"/>
              <w:ind w:left="414"/>
            </w:pPr>
            <w:r>
              <w:rPr>
                <w:spacing w:val="1"/>
              </w:rPr>
              <w:t>计时收费档次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72" w:line="219" w:lineRule="auto"/>
              <w:ind w:left="572"/>
            </w:pPr>
            <w:r>
              <w:rPr>
                <w:spacing w:val="5"/>
              </w:rPr>
              <w:t>金额</w:t>
            </w:r>
          </w:p>
        </w:tc>
        <w:tc>
          <w:tcPr>
            <w:tcW w:w="4100" w:type="dxa"/>
            <w:vAlign w:val="top"/>
          </w:tcPr>
          <w:p>
            <w:pPr>
              <w:pStyle w:val="19"/>
              <w:spacing w:before="172" w:line="219" w:lineRule="auto"/>
              <w:ind w:left="1475"/>
            </w:pPr>
            <w:r>
              <w:rPr>
                <w:spacing w:val="8"/>
              </w:rPr>
              <w:t>律师姓名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2412" w:type="dxa"/>
            <w:vAlign w:val="top"/>
          </w:tcPr>
          <w:p>
            <w:pPr>
              <w:pStyle w:val="19"/>
              <w:spacing w:before="173" w:line="219" w:lineRule="auto"/>
              <w:ind w:left="804"/>
            </w:pPr>
            <w:r>
              <w:rPr>
                <w:spacing w:val="6"/>
              </w:rPr>
              <w:t>第一档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94" w:line="220" w:lineRule="auto"/>
              <w:ind w:left="312"/>
              <w:rPr>
                <w:rFonts w:hint="eastAsia" w:eastAsia="宋体"/>
                <w:lang w:eastAsia="zh-CN"/>
              </w:rPr>
            </w:pPr>
            <w:r>
              <w:rPr>
                <w:spacing w:val="-11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</w:rPr>
              <w:t>0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0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元</w:t>
            </w:r>
            <w:r>
              <w:rPr>
                <w:spacing w:val="-50"/>
              </w:rPr>
              <w:t xml:space="preserve"> </w:t>
            </w:r>
            <w:r>
              <w:rPr>
                <w:rFonts w:hint="eastAsia"/>
                <w:spacing w:val="-11"/>
                <w:lang w:eastAsia="zh-CN"/>
              </w:rPr>
              <w:t>－</w:t>
            </w:r>
          </w:p>
          <w:p>
            <w:pPr>
              <w:pStyle w:val="19"/>
              <w:spacing w:before="280" w:line="220" w:lineRule="auto"/>
              <w:ind w:left="442"/>
            </w:pPr>
            <w:r>
              <w:rPr>
                <w:spacing w:val="2"/>
              </w:rPr>
              <w:t>2500元</w:t>
            </w:r>
          </w:p>
        </w:tc>
        <w:tc>
          <w:tcPr>
            <w:tcW w:w="4100" w:type="dxa"/>
            <w:vAlign w:val="top"/>
          </w:tcPr>
          <w:p>
            <w:pPr>
              <w:pStyle w:val="19"/>
              <w:spacing w:before="183" w:line="353" w:lineRule="auto"/>
              <w:ind w:left="95"/>
            </w:pPr>
            <w:r>
              <w:rPr>
                <w:spacing w:val="-11"/>
              </w:rPr>
              <w:t>彭玉红，林金瑶，叶嘉琪，戴倩倩，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陈美玲，王子圣，蔡泽恩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2412" w:type="dxa"/>
            <w:vAlign w:val="top"/>
          </w:tcPr>
          <w:p>
            <w:pPr>
              <w:pStyle w:val="19"/>
              <w:spacing w:before="175" w:line="219" w:lineRule="auto"/>
              <w:ind w:left="804"/>
            </w:pPr>
            <w:r>
              <w:rPr>
                <w:spacing w:val="6"/>
              </w:rPr>
              <w:t>第二档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86" w:line="352" w:lineRule="auto"/>
              <w:ind w:left="442" w:right="244" w:hanging="190"/>
            </w:pPr>
            <w:r>
              <w:rPr>
                <w:spacing w:val="32"/>
              </w:rPr>
              <w:t>2600元</w:t>
            </w:r>
            <w:r>
              <w:rPr>
                <w:spacing w:val="-64"/>
              </w:rPr>
              <w:t xml:space="preserve"> </w:t>
            </w:r>
            <w:r>
              <w:rPr>
                <w:rFonts w:hint="eastAsia"/>
                <w:spacing w:val="32"/>
                <w:lang w:eastAsia="zh-CN"/>
              </w:rPr>
              <w:t>－</w:t>
            </w:r>
            <w:r>
              <w:t xml:space="preserve"> </w:t>
            </w:r>
            <w:r>
              <w:rPr>
                <w:spacing w:val="2"/>
              </w:rPr>
              <w:t>4500元</w:t>
            </w:r>
          </w:p>
        </w:tc>
        <w:tc>
          <w:tcPr>
            <w:tcW w:w="4100" w:type="dxa"/>
            <w:vAlign w:val="top"/>
          </w:tcPr>
          <w:p>
            <w:pPr>
              <w:pStyle w:val="19"/>
              <w:spacing w:before="193" w:line="219" w:lineRule="auto"/>
              <w:ind w:left="95"/>
            </w:pPr>
            <w:r>
              <w:rPr>
                <w:spacing w:val="1"/>
              </w:rPr>
              <w:t>袁邵敏，蔡文杰，董彦君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2412" w:type="dxa"/>
            <w:vAlign w:val="top"/>
          </w:tcPr>
          <w:p>
            <w:pPr>
              <w:pStyle w:val="19"/>
              <w:spacing w:before="177" w:line="219" w:lineRule="auto"/>
              <w:ind w:left="804"/>
            </w:pPr>
            <w:r>
              <w:rPr>
                <w:spacing w:val="6"/>
              </w:rPr>
              <w:t>第三档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207" w:line="348" w:lineRule="auto"/>
              <w:ind w:left="442" w:right="245" w:hanging="190"/>
            </w:pPr>
            <w:r>
              <w:rPr>
                <w:spacing w:val="32"/>
              </w:rPr>
              <w:t>4600元</w:t>
            </w:r>
            <w:r>
              <w:rPr>
                <w:spacing w:val="-64"/>
              </w:rPr>
              <w:t xml:space="preserve"> </w:t>
            </w:r>
            <w:r>
              <w:rPr>
                <w:rFonts w:hint="eastAsia"/>
                <w:spacing w:val="32"/>
                <w:lang w:eastAsia="zh-CN"/>
              </w:rPr>
              <w:t>－</w:t>
            </w:r>
            <w:r>
              <w:t xml:space="preserve"> </w:t>
            </w:r>
            <w:r>
              <w:rPr>
                <w:spacing w:val="2"/>
              </w:rPr>
              <w:t>6500元</w:t>
            </w:r>
          </w:p>
        </w:tc>
        <w:tc>
          <w:tcPr>
            <w:tcW w:w="4100" w:type="dxa"/>
            <w:vAlign w:val="top"/>
          </w:tcPr>
          <w:p>
            <w:pPr>
              <w:pStyle w:val="19"/>
              <w:spacing w:before="176" w:line="219" w:lineRule="auto"/>
              <w:ind w:left="95"/>
            </w:pPr>
            <w:r>
              <w:rPr>
                <w:spacing w:val="4"/>
              </w:rPr>
              <w:t>徐焕茹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2412" w:type="dxa"/>
            <w:vAlign w:val="top"/>
          </w:tcPr>
          <w:p>
            <w:pPr>
              <w:pStyle w:val="19"/>
              <w:spacing w:before="197" w:line="350" w:lineRule="auto"/>
              <w:ind w:left="934" w:right="146" w:hanging="780"/>
            </w:pPr>
            <w:r>
              <w:rPr>
                <w:spacing w:val="2"/>
              </w:rPr>
              <w:t>不采取计时业务的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律师</w:t>
            </w:r>
          </w:p>
        </w:tc>
        <w:tc>
          <w:tcPr>
            <w:tcW w:w="1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11"/>
        <w:bidi w:val="0"/>
        <w:spacing w:line="240" w:lineRule="auto"/>
        <w:ind w:left="0" w:leftChars="0" w:firstLine="0" w:firstLineChars="0"/>
      </w:pPr>
    </w:p>
    <w:sectPr>
      <w:headerReference r:id="rId10" w:type="default"/>
      <w:footerReference r:id="rId11" w:type="default"/>
      <w:pgSz w:w="11900" w:h="16820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7264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lSs7WAAAABgEAAA8A&#10;AAAAAAAAAQAgAAAAIgAAAGRycy9kb3ducmV2LnhtbFBLAQIUABQAAAAIAIdO4kBSFOniGQIAAB0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lSs7WAAAABgEAAA8A&#10;AAAAAAAAAQAgAAAAIgAAAGRycy9kb3ducmV2LnhtbFBLAQIUABQAAAAIAIdO4kDt8hNVGQIAAB0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22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pUrO1gAAAAYBAAAP&#10;AAAAAAAAAAEAIAAAACIAAABkcnMvZG93bnJldi54bWxQSwECFAAUAAAACACHTuJAuLn6ORoCAAAd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27"/>
        <w:szCs w:val="27"/>
      </w:rPr>
      <w:t>-4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7274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lSs7WAAAABgEAAA8A&#10;AAAAAAAAAQAgAAAAIgAAAGRycy9kb3ducmV2LnhtbFBLAQIUABQAAAAIAIdO4kAt5KxUGQIAAB0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26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lSs7WAAAABgEAAA8A&#10;AAAAAAAAAQAgAAAAIgAAAGRycy9kb3ducmV2LnhtbFBLAQIUABQAAAAIAIdO4kBt321WGQIAAB0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30"/>
        <w:szCs w:val="30"/>
      </w:rPr>
      <w:t>-6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30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lSs7WAAAABgEAAA8A&#10;AAAAAAAAAQAgAAAAIgAAAGRycy9kb3ducmV2LnhtbFBLAQIUABQAAAAIAIdO4kCHcn6NGQIAAB0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249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lSs7WAAAABgEAAA8A&#10;AAAAAAAAAQAgAAAAIgAAAGRycy9kb3ducmV2LnhtbFBLAQIUABQAAAAIAIdO4kBm7Q3eGQIAAB8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pUrO1gAAAAYBAAAP&#10;AAAAAAAAAAEAIAAAACIAAABkcnMvZG93bnJldi54bWxQSwECFAAUAAAACACHTuJAmNUw9RoCAAAf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BE977C"/>
    <w:multiLevelType w:val="singleLevel"/>
    <w:tmpl w:val="9DBE977C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">
    <w:nsid w:val="9EFA942F"/>
    <w:multiLevelType w:val="singleLevel"/>
    <w:tmpl w:val="9EFA942F"/>
    <w:lvl w:ilvl="0" w:tentative="0">
      <w:start w:val="1"/>
      <w:numFmt w:val="chi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2">
    <w:nsid w:val="AF6609B6"/>
    <w:multiLevelType w:val="singleLevel"/>
    <w:tmpl w:val="AF6609B6"/>
    <w:lvl w:ilvl="0" w:tentative="0">
      <w:start w:val="10"/>
      <w:numFmt w:val="chineseCounting"/>
      <w:suff w:val="nothing"/>
      <w:lvlText w:val="%1、"/>
      <w:lvlJc w:val="left"/>
      <w:pPr>
        <w:ind w:left="0" w:firstLine="616"/>
      </w:pPr>
      <w:rPr>
        <w:rFonts w:hint="eastAsia"/>
      </w:rPr>
    </w:lvl>
  </w:abstractNum>
  <w:abstractNum w:abstractNumId="3">
    <w:nsid w:val="BBF74839"/>
    <w:multiLevelType w:val="singleLevel"/>
    <w:tmpl w:val="BBF74839"/>
    <w:lvl w:ilvl="0" w:tentative="0">
      <w:start w:val="10"/>
      <w:numFmt w:val="decimal"/>
      <w:suff w:val="space"/>
      <w:lvlText w:val="%1"/>
      <w:lvlJc w:val="left"/>
      <w:pPr>
        <w:ind w:left="0" w:firstLine="616"/>
      </w:pPr>
      <w:rPr>
        <w:rFonts w:hint="default" w:ascii="Times New Roman Regular" w:hAnsi="Times New Roman Regular" w:cs="Times New Roman Regular"/>
      </w:rPr>
    </w:lvl>
  </w:abstractNum>
  <w:abstractNum w:abstractNumId="4">
    <w:nsid w:val="BFFF064F"/>
    <w:multiLevelType w:val="singleLevel"/>
    <w:tmpl w:val="BFFF064F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5">
    <w:nsid w:val="E77EB02D"/>
    <w:multiLevelType w:val="singleLevel"/>
    <w:tmpl w:val="E77EB02D"/>
    <w:lvl w:ilvl="0" w:tentative="0">
      <w:start w:val="1"/>
      <w:numFmt w:val="chineseCounting"/>
      <w:suff w:val="nothing"/>
      <w:lvlText w:val="%1、"/>
      <w:lvlJc w:val="left"/>
      <w:pPr>
        <w:ind w:left="0" w:firstLine="616"/>
      </w:pPr>
      <w:rPr>
        <w:rFonts w:hint="eastAsia"/>
      </w:rPr>
    </w:lvl>
  </w:abstractNum>
  <w:abstractNum w:abstractNumId="6">
    <w:nsid w:val="FF5C452E"/>
    <w:multiLevelType w:val="singleLevel"/>
    <w:tmpl w:val="FF5C452E"/>
    <w:lvl w:ilvl="0" w:tentative="0">
      <w:start w:val="1"/>
      <w:numFmt w:val="chi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7">
    <w:nsid w:val="FFFE86D3"/>
    <w:multiLevelType w:val="singleLevel"/>
    <w:tmpl w:val="FFFE86D3"/>
    <w:lvl w:ilvl="0" w:tentative="0">
      <w:start w:val="5"/>
      <w:numFmt w:val="chi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8">
    <w:nsid w:val="5FCC5370"/>
    <w:multiLevelType w:val="singleLevel"/>
    <w:tmpl w:val="5FCC5370"/>
    <w:lvl w:ilvl="0" w:tentative="0">
      <w:start w:val="8"/>
      <w:numFmt w:val="chineseCounting"/>
      <w:suff w:val="nothing"/>
      <w:lvlText w:val="%1、"/>
      <w:lvlJc w:val="left"/>
      <w:pPr>
        <w:ind w:left="0" w:firstLine="616"/>
      </w:pPr>
      <w:rPr>
        <w:rFonts w:hint="eastAsia"/>
      </w:rPr>
    </w:lvl>
  </w:abstractNum>
  <w:abstractNum w:abstractNumId="9">
    <w:nsid w:val="7DFE626D"/>
    <w:multiLevelType w:val="singleLevel"/>
    <w:tmpl w:val="7DFE626D"/>
    <w:lvl w:ilvl="0" w:tentative="0">
      <w:start w:val="1"/>
      <w:numFmt w:val="chineseCounting"/>
      <w:suff w:val="space"/>
      <w:lvlText w:val="第%1部分"/>
      <w:lvlJc w:val="left"/>
      <w:pPr>
        <w:ind w:left="0" w:firstLine="0"/>
      </w:pPr>
      <w:rPr>
        <w:rFonts w:hint="eastAsi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16D0872"/>
    <w:rsid w:val="1E744073"/>
    <w:rsid w:val="1F7659D9"/>
    <w:rsid w:val="26680CE3"/>
    <w:rsid w:val="2E6B75C2"/>
    <w:rsid w:val="3BF702BE"/>
    <w:rsid w:val="65DB184B"/>
    <w:rsid w:val="748F31CD"/>
    <w:rsid w:val="7B675084"/>
    <w:rsid w:val="7D6737AF"/>
    <w:rsid w:val="F7FA33FE"/>
    <w:rsid w:val="FEDEF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paragraph" w:customStyle="1" w:styleId="20">
    <w:name w:val="章标题"/>
    <w:next w:val="1"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5</TotalTime>
  <ScaleCrop>false</ScaleCrop>
  <LinksUpToDate>false</LinksUpToDate>
  <Application>WPS Office_11.1.0.9305_F1E327BC-269C-435d-A152-05C5408002CA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2025-06-14T07:52:00Z</dcterms:created>
  <dc:creator>Data</dc:creator>
  <cp:lastModifiedBy>tina</cp:lastModifiedBy>
  <dcterms:modified xsi:type="dcterms:W3CDTF">2026-01-12T14:57:27Z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2025-06-13T15:52:16Z</vt:filetime>
  </property>
  <property fmtid="{D5CDD505-2E9C-101B-9397-08002B2CF9AE}" pid="4" name="UsrData">
    <vt:lpwstr>684bd8ad58c848001fa422c9wl</vt:lpwstr>
  </property>
  <property fmtid="{D5CDD505-2E9C-101B-9397-08002B2CF9AE}" pid="5" name="KSOProductBuildVer">
    <vt:lpwstr>2052-11.1.0.9305</vt:lpwstr>
  </property>
  <property fmtid="{D5CDD505-2E9C-101B-9397-08002B2CF9AE}" pid="6" name="ICV">
    <vt:lpwstr>FFBB371DBA0695A64FAE6469E9FCD2ED_43</vt:lpwstr>
  </property>
</Properties>
</file>